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6B93F" w14:textId="77777777" w:rsidR="00082E38" w:rsidRDefault="00082E38" w:rsidP="00082E38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C3C8908" w14:textId="77777777" w:rsidR="00570699" w:rsidRDefault="00570699" w:rsidP="00082E38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6095CF8" w14:textId="77777777" w:rsidR="00570699" w:rsidRDefault="00570699" w:rsidP="00082E38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121ABDE" w14:textId="77777777" w:rsidR="00570699" w:rsidRDefault="00570699" w:rsidP="00082E38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A4CF030" w14:textId="77777777" w:rsidR="00570699" w:rsidRDefault="00570699" w:rsidP="00082E38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51D91A1" w14:textId="77777777" w:rsidR="00082E38" w:rsidRPr="008972A1" w:rsidRDefault="00082E38" w:rsidP="00082E3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972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1D8C6A54" w14:textId="77777777" w:rsidR="00570699" w:rsidRDefault="00570699" w:rsidP="00570699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2ED7D25D" w14:textId="77777777" w:rsidR="00570699" w:rsidRPr="00860A5B" w:rsidRDefault="00570699" w:rsidP="00570699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5F00186" w14:textId="130EBC2A" w:rsidR="00E11EBE" w:rsidRDefault="00570699" w:rsidP="0057069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62CBB5B4" w14:textId="77777777" w:rsidR="00570699" w:rsidRDefault="00570699" w:rsidP="0057069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6700A41B" w14:textId="77777777" w:rsidR="00570699" w:rsidRPr="0047045D" w:rsidRDefault="00570699" w:rsidP="0057069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0377374B" w14:textId="77777777" w:rsidR="000953D2" w:rsidRPr="008972A1" w:rsidRDefault="000953D2" w:rsidP="000953D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897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Finanse i </w:t>
      </w:r>
      <w:r w:rsidR="00A6763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</w:t>
      </w:r>
      <w:r w:rsidRPr="00897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arządzanie </w:t>
      </w:r>
      <w:r w:rsidR="00A6763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f</w:t>
      </w:r>
      <w:r w:rsidRPr="00897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inansami</w:t>
      </w:r>
    </w:p>
    <w:p w14:paraId="0F90E1E9" w14:textId="77777777" w:rsidR="00E11EBE" w:rsidRDefault="000953D2" w:rsidP="000953D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11EBE"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44375AD2" w14:textId="77777777" w:rsidR="008972A1" w:rsidRPr="0047045D" w:rsidRDefault="008972A1" w:rsidP="000953D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57FF0927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AA40674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219853A7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6BCDFA64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580BCE87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728D9928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6E0EFD86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5020EE2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A5CF40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B09C02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401D6053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20526FF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AB5CC1E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0B647FA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82F57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00F224F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FA3E8E4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E2A7BDF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4EDEFC64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B85751F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9EB1C93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3BB405F9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45601BE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6F273027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3D398A25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63757598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2C2D455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5FCA4E35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0953D2" w14:paraId="0C1967D6" w14:textId="77777777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4D6F2D65" w14:textId="77777777" w:rsidR="000953D2" w:rsidRP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953D2">
              <w:rPr>
                <w:rFonts w:ascii="Times New Roman" w:hAnsi="Times New Roman" w:cs="Times New Roman"/>
                <w:b/>
                <w:sz w:val="18"/>
                <w:szCs w:val="18"/>
              </w:rPr>
              <w:t>5.1. Zarządzanie finansami jednostek gospodarczych</w:t>
            </w:r>
          </w:p>
          <w:p w14:paraId="3D2D64D1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t xml:space="preserve">5.1.1.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Kapitały (fundusze) własne jednostek gospodarczych.</w:t>
            </w:r>
          </w:p>
          <w:p w14:paraId="118179B3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5.1.2. Rozliczenia pieniężne gotówkowe i bezgotówkowe, w tym w walutach obcych.</w:t>
            </w:r>
          </w:p>
          <w:p w14:paraId="2F267E5A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5.1.3. Zasilanie finansowe, analiza i prognozowanie przepływów pieniężnych.</w:t>
            </w:r>
          </w:p>
          <w:p w14:paraId="72CA109E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5.1.4. Wycena przepływów pieniężnych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CEC7A01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5.1.5.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lanowanie nakładów kapitałowych, </w:t>
            </w:r>
          </w:p>
          <w:p w14:paraId="271154E7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analiza i ocena projektu inwestycyjnego, decyzje inwestycyjne w warunkach ryzyka i niepewności.</w:t>
            </w:r>
          </w:p>
          <w:p w14:paraId="5EF2E1E8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5.1.6. Długoterminowe decyzje finansowe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6D15FC5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5.1.7. Krótkoterminowe decyzje finansowe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953BDEA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5.1.8. Planowanie finansowe: prognozy, zakres, modele.</w:t>
            </w:r>
          </w:p>
          <w:p w14:paraId="2CA9A070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5.1.9. Zarządzanie ryzykiem w gospoda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rce finansowej przedsiębiorstwa.</w:t>
            </w:r>
          </w:p>
          <w:p w14:paraId="027CA7C8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5.1.10 Postępowanie restrukturyzacyjne oraz upadłościowe – aspekty finansowe.</w:t>
            </w:r>
          </w:p>
          <w:p w14:paraId="033D54E3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EE48E7" w14:textId="77777777" w:rsid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5.2 Wycena przedsiębiorstw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14:paraId="6A6FBED8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5.2.1. Wycena przed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siębiorstw metodami majątkowymi.</w:t>
            </w:r>
          </w:p>
          <w:p w14:paraId="5BF96379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5.2.2. Wycena przedsiębiors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tw metodami dochodowymi.</w:t>
            </w:r>
          </w:p>
          <w:p w14:paraId="0969EE3B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5.2.3. Wycena prze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dsiębiorstw metodami mieszanymi.</w:t>
            </w:r>
          </w:p>
          <w:p w14:paraId="3FE4F5AC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5.2.4. Wycena przedsiębiorstw innymi metodami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DB18FB7" w14:textId="77777777" w:rsid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FE33D38" w14:textId="77777777" w:rsidR="000953D2" w:rsidRPr="004E6E0A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5.3. Finanse publiczne</w:t>
            </w:r>
          </w:p>
          <w:p w14:paraId="3BB049BD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.3.1. Środki publiczne, nadwyżka i deficyt sektora finansów publicznych.</w:t>
            </w:r>
          </w:p>
          <w:p w14:paraId="75099A91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5.3.2. Jednostki zaliczane do sektora finansów publicznych.</w:t>
            </w:r>
          </w:p>
          <w:p w14:paraId="0C7BB4C0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5.3.3. Ogólne zasady gospodarki finansowej jednoste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 sektora finansów publicznych.</w:t>
            </w:r>
          </w:p>
          <w:p w14:paraId="00D1D7D6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5.3.4. System finansowy jednostek budżetowych, samorządowych zakładów budżetowych,</w:t>
            </w:r>
          </w:p>
          <w:p w14:paraId="0D51D50F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państwowych funduszy celowych, agencji wykonawczych i instytucji gospodarki budżetowej.</w:t>
            </w:r>
          </w:p>
          <w:p w14:paraId="1767494A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5.3.5. Budżet państwa i budżety jed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nostek samorządu terytorialnego.</w:t>
            </w:r>
          </w:p>
          <w:p w14:paraId="70735AA2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5.3.6. System finansowego wspomagania gospodarki środkami z budżetu Unii Europejskiej.</w:t>
            </w:r>
          </w:p>
          <w:p w14:paraId="1468EAA2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5.3.7. System finansowania przedsięwzięć publiczno-prywatnych.</w:t>
            </w:r>
          </w:p>
          <w:p w14:paraId="17FE08C5" w14:textId="77777777" w:rsidR="000953D2" w:rsidRPr="004E6E0A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7A31EB9" w14:textId="77777777" w:rsid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5.4 Finanse banków i instytucji finansowych</w:t>
            </w:r>
          </w:p>
          <w:p w14:paraId="17DE58AE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5.4.1. System bankowy – bank centralny i jego funkcje, banki państwowe, banki w formie spółek akcyjnych, banki hipoteczne, banki zrzeszające, banki spółdzielcze, oddziały i przedstawicielstwa instytucji kredytowych oraz banków zagranicznych.</w:t>
            </w:r>
          </w:p>
          <w:p w14:paraId="47FCCAE6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5.4.2. Rola Banku Gospodarstwa Krajowego.</w:t>
            </w:r>
          </w:p>
          <w:p w14:paraId="4800C287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5.4.3. Finansowe grupy kapitałowe, w tym międzynarodowe, konglomeraty finansowe oraz struktury holdingowe.</w:t>
            </w:r>
          </w:p>
          <w:p w14:paraId="6033A13D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5.4.4. Spółdzielcze kasy oszczędnościowo-kredytowe.</w:t>
            </w:r>
          </w:p>
          <w:p w14:paraId="37BD8617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5.4.5. Inne instytucje finansowe.</w:t>
            </w:r>
          </w:p>
          <w:p w14:paraId="7CCDED87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5.4.6. Fundusze własne, ich kategorie i struktura oraz wewnętrzne relacje. Sposoby wnoszenia i zaliczania poszczególnych instrumentów do odpowiednich kategorii funduszy. Tworzenie, przeznaczenie, wykorzystanie, inne operacje i pozycje wpływające na poziom funduszy własnych poszczególnych rodzajów podmiotów.</w:t>
            </w:r>
          </w:p>
          <w:p w14:paraId="031E57B2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5.4.7. Proces szacowania kapitału wewnętrznego oraz dokonywania przez banki jego przeglądów. </w:t>
            </w:r>
          </w:p>
          <w:p w14:paraId="3E1700AF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5.4.8. Zakres i zasady wyznaczania wymogów kapitałowych, w tym zakres i warunki stosowania metod statystycznych.</w:t>
            </w:r>
          </w:p>
          <w:p w14:paraId="13821C2F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5.4.9. Bufory kapitałowe – uwarunkowania stosowania, zasady kalkulacji, normy regulacyjne.</w:t>
            </w:r>
          </w:p>
          <w:p w14:paraId="0180030E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5.4.10. Domiar kapitałowy – definicja oraz zakres stosowania. Obowiązujące normy kapitałowe, poszczególne składowe, ich poziom oraz sposób obliczania, w tym zasady kalkulacji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701EA9B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współczynnika wypłacalności.</w:t>
            </w:r>
          </w:p>
          <w:p w14:paraId="0F9210D5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5.4.11. System zarządzania ryzykiem banku oraz system kontroli wewnętrznej, jako elementy systemu zarządzania. </w:t>
            </w:r>
          </w:p>
          <w:p w14:paraId="719C7628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5.4.12. Kategorie identyfikowanego ryzyka w działalności bankowej, wiążące normy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A6DDCA0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ostrożnościowe, określające dopuszczalne ryzyko w działalności banku oraz zakres ich stosowania.</w:t>
            </w:r>
          </w:p>
          <w:p w14:paraId="03B59A34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5.4.13. Uwarunkowania procesu wyznaczania akceptowalnego poziomu ryzyka.</w:t>
            </w:r>
          </w:p>
          <w:p w14:paraId="68E97995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5.4.14. System identyfikacji, pomiaru, monitorowania i raportowania ryzyka w działalności banku oraz innych podmiotów finansowych działających na rynku regulowanym.</w:t>
            </w:r>
          </w:p>
          <w:p w14:paraId="5FEA27E9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5.4.15. Zarządzanie aktywami i pasywami, struktura finansowania oraz alokacja środków z uwzględnieniem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uwarunkowań walutowych, terminowych, zmienności stóp procentowych oraz ryzyka kontrahenta.</w:t>
            </w:r>
          </w:p>
          <w:p w14:paraId="350A0D3B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5.4.16. Limity wewnętrzne, normy koncentracji oraz pozostałe normy regulacyjne.</w:t>
            </w:r>
          </w:p>
          <w:p w14:paraId="5DAA6660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5.4.17. Rodzaje operacji i instrumentów bankowych realizowanych na rachunek własny, jak i oferowanych klientom, w tym prowadzenie rachunków bankowych, udzielanie kredytów 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pożyczek, gwarancji bankowych, poręczeń i akredytyw, emisja bankowych papierów wartościowych, emisja listów zastawnych, rozliczenia pieniężne – wymagania regulacyjne.</w:t>
            </w:r>
          </w:p>
          <w:p w14:paraId="6D2657D3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5.4.18. Uczestnictwo podmiotów finansowych w systemie bezpieczeństwa. System gwarancji depozytów – aspekty finansowe oraz obowiązki informacyjne.</w:t>
            </w:r>
          </w:p>
          <w:p w14:paraId="73042984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5.4.19. System rekompensat – aspekty finansowe.</w:t>
            </w:r>
          </w:p>
          <w:p w14:paraId="01B9B481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5.4.20. Zasady partycypacji w finansowaniu systemu nadzoru.</w:t>
            </w:r>
          </w:p>
          <w:p w14:paraId="4C4E5C9B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5.4.21. Procesy restrukturyzacji oraz uporządkowanej likwidacji podmiotu finansowego – założenia, możliwe scenariusze, wykorzystywane mechanizmy. </w:t>
            </w:r>
          </w:p>
          <w:p w14:paraId="7543726F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5.4.22. Odpowiedzialność oraz rola poszczególnych instytucji w procesach restrukturyzacji i uporządkowanej likwidacji.</w:t>
            </w:r>
          </w:p>
          <w:p w14:paraId="378A1226" w14:textId="77777777"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E6FF2A" w14:textId="77777777" w:rsidR="000953D2" w:rsidRPr="00E0395B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395B">
              <w:rPr>
                <w:rFonts w:ascii="Times New Roman" w:hAnsi="Times New Roman" w:cs="Times New Roman"/>
                <w:b/>
                <w:sz w:val="18"/>
                <w:szCs w:val="18"/>
              </w:rPr>
              <w:t>5.5. Finanse zakładów ubezpieczeń i zakładów reasekuracji</w:t>
            </w:r>
          </w:p>
          <w:p w14:paraId="26D7D36A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 System ubezpieczeń majątkowych i osobowych (formy organizacyjno-prawne prowadzenia działalności ubezpieczeniowej, istota i rodzaje ubezpieczeń).</w:t>
            </w:r>
          </w:p>
          <w:p w14:paraId="40D6453A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5.5.2. Operacje w działalności ubezpieczeniowej.</w:t>
            </w:r>
          </w:p>
          <w:p w14:paraId="772A92FD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5.5.3. Kapitał zakładowy oraz inne kapitały i fundusze specjalne zakładu ubezpieczeń i zakładu reasekuracji – tworzenie, przeznaczenie, wykorzystanie, inne operacje tymi kapitałami i funduszami.</w:t>
            </w:r>
          </w:p>
          <w:p w14:paraId="3755FAB5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5.5.4. Zasady lokowania środków finansowych przez zakład ubezpieczeń i zakład reasekuracji.</w:t>
            </w:r>
          </w:p>
          <w:p w14:paraId="787FC2E6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5.5.5. Ryzyko w działalności zakładu ubezpieczeń i zakładu reasekuracji. System zarządzania ryzykiem. Własna ocena ryzyka i wypłacalności. </w:t>
            </w:r>
          </w:p>
          <w:p w14:paraId="5864E6E4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5.5.6. Reasekuracja i inne techniki przenoszenia ryzyka. System kontroli wewnętrznej. Funkcja audytu wewnętrznego. Funkcja aktuarialna. Funkcja zgodności z przepisami. Funkcja zarządzania ryzykiem.</w:t>
            </w:r>
          </w:p>
          <w:p w14:paraId="31FAA40D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5.5.7. Wypłacalność zakładu ubezpieczeń i zakładu reasekuracji. Rezerwy techniczno- ubezpieczeniowe dla celów wypłacalności i dla celów rachunkowości. Środki własne zakładu ubezpieczeń i zakładu reasekuracji. Klasyfikacja pozycji środków własnych. Wymagany poziom środków własnych.</w:t>
            </w:r>
          </w:p>
          <w:p w14:paraId="77745DC9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5.5.8. Relacje określonych ustawowo rodzajów i kategorii środków własnych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(podstawowe środki własne, uzupełniające środki własne, dopuszczone środki własne) do określonych ustawowo wymogów wypłacalności (kapitałowy wymóg wypłacalności, minimalny wymóg kapitałowy, nieprzekraczalny dolny próg minimalnego wymogu kapitałowego).</w:t>
            </w:r>
          </w:p>
          <w:p w14:paraId="463EEAC5" w14:textId="77777777"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5.5.9. Ubezpieczeniowy Fundusz Gwarancyjny – funkcje, zasady działania.</w:t>
            </w:r>
          </w:p>
          <w:p w14:paraId="76C1600E" w14:textId="77777777" w:rsidR="000953D2" w:rsidRPr="004E6E0A" w:rsidRDefault="000953D2" w:rsidP="000953D2"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5.5.10. Inne instytucje rynku ubezpieczeniowego – aspekty finansowe.</w:t>
            </w:r>
          </w:p>
        </w:tc>
        <w:tc>
          <w:tcPr>
            <w:tcW w:w="3594" w:type="dxa"/>
          </w:tcPr>
          <w:p w14:paraId="738EE6C7" w14:textId="77777777" w:rsidR="000953D2" w:rsidRDefault="000953D2" w:rsidP="000953D2"/>
        </w:tc>
        <w:tc>
          <w:tcPr>
            <w:tcW w:w="3828" w:type="dxa"/>
          </w:tcPr>
          <w:p w14:paraId="4C385D7F" w14:textId="77777777" w:rsidR="000953D2" w:rsidRDefault="000953D2" w:rsidP="000953D2"/>
        </w:tc>
        <w:tc>
          <w:tcPr>
            <w:tcW w:w="3685" w:type="dxa"/>
          </w:tcPr>
          <w:p w14:paraId="2967BF0F" w14:textId="77777777" w:rsidR="000953D2" w:rsidRDefault="000953D2" w:rsidP="000953D2"/>
        </w:tc>
      </w:tr>
    </w:tbl>
    <w:p w14:paraId="45B137DC" w14:textId="77777777" w:rsidR="00E11EBE" w:rsidRDefault="00E11EBE" w:rsidP="00E11EBE"/>
    <w:p w14:paraId="3AB8D8D3" w14:textId="77777777" w:rsidR="00501CD3" w:rsidRDefault="00501CD3"/>
    <w:sectPr w:rsidR="00501CD3" w:rsidSect="008972A1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A6F95" w14:textId="77777777" w:rsidR="005E0524" w:rsidRDefault="005E0524" w:rsidP="00E11EBE">
      <w:pPr>
        <w:spacing w:after="0" w:line="240" w:lineRule="auto"/>
      </w:pPr>
      <w:r>
        <w:separator/>
      </w:r>
    </w:p>
  </w:endnote>
  <w:endnote w:type="continuationSeparator" w:id="0">
    <w:p w14:paraId="35A5D6FB" w14:textId="77777777" w:rsidR="005E0524" w:rsidRDefault="005E0524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A3D76" w14:textId="77777777" w:rsidR="005E0524" w:rsidRDefault="005E0524" w:rsidP="00E11EBE">
      <w:pPr>
        <w:spacing w:after="0" w:line="240" w:lineRule="auto"/>
      </w:pPr>
      <w:r>
        <w:separator/>
      </w:r>
    </w:p>
  </w:footnote>
  <w:footnote w:type="continuationSeparator" w:id="0">
    <w:p w14:paraId="21F31C3B" w14:textId="77777777" w:rsidR="005E0524" w:rsidRDefault="005E0524" w:rsidP="00E11EBE">
      <w:pPr>
        <w:spacing w:after="0" w:line="240" w:lineRule="auto"/>
      </w:pPr>
      <w:r>
        <w:continuationSeparator/>
      </w:r>
    </w:p>
  </w:footnote>
  <w:footnote w:id="1">
    <w:p w14:paraId="1F8518C4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5013E474" w14:textId="77777777" w:rsidR="00E11EBE" w:rsidRDefault="00E11EBE" w:rsidP="00E11EBE">
      <w:pPr>
        <w:pStyle w:val="Tekstprzypisudolnego"/>
      </w:pPr>
    </w:p>
  </w:footnote>
  <w:footnote w:id="2">
    <w:p w14:paraId="26301A66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82E38"/>
    <w:rsid w:val="000953D2"/>
    <w:rsid w:val="001108B5"/>
    <w:rsid w:val="00123F07"/>
    <w:rsid w:val="001D6160"/>
    <w:rsid w:val="00273743"/>
    <w:rsid w:val="002918DA"/>
    <w:rsid w:val="00392FB0"/>
    <w:rsid w:val="00501CD3"/>
    <w:rsid w:val="00570699"/>
    <w:rsid w:val="005E0524"/>
    <w:rsid w:val="00607F46"/>
    <w:rsid w:val="007B76A4"/>
    <w:rsid w:val="008921AD"/>
    <w:rsid w:val="008972A1"/>
    <w:rsid w:val="00973BB9"/>
    <w:rsid w:val="0098742F"/>
    <w:rsid w:val="00A67630"/>
    <w:rsid w:val="00AB2F8C"/>
    <w:rsid w:val="00AC0C54"/>
    <w:rsid w:val="00CB641A"/>
    <w:rsid w:val="00D34CC1"/>
    <w:rsid w:val="00D35757"/>
    <w:rsid w:val="00E11EBE"/>
    <w:rsid w:val="00E71DD2"/>
    <w:rsid w:val="00EA2990"/>
    <w:rsid w:val="00F2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A2FB0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33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37F57-AAC3-4D43-811F-CE0D16B19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1039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2026-03-11T14:04:00Z</dcterms:created>
  <dcterms:modified xsi:type="dcterms:W3CDTF">2026-03-12T07:21:00Z</dcterms:modified>
</cp:coreProperties>
</file>